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2F0" w:rsidRDefault="009112F0">
      <w:pPr>
        <w:widowControl w:val="0"/>
        <w:ind w:left="4956" w:firstLine="708"/>
        <w:rPr>
          <w:sz w:val="26"/>
        </w:rPr>
      </w:pP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главного государственного налогового инспектора</w:t>
      </w: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отдела обеспечения процедур банкротства</w:t>
      </w: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 xml:space="preserve">Межрайонной ИФНС России № 17 по Санкт-Петербургу 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pStyle w:val="1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I. Общие положения</w:t>
      </w:r>
    </w:p>
    <w:p w:rsidR="009112F0" w:rsidRDefault="00567A14">
      <w:pPr>
        <w:pStyle w:val="10"/>
        <w:spacing w:before="0" w:after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1.Должность федеральной государственной гражданской службы (далее - гражданская служба) главного государственного налогового инспектора отдела обеспечения процедур банкротства Межрайонной ИФНС России №17 по Санкт-Петербургу (далее – главного государственный налоговый инспектор) относится к ведущей группе должностей гражданской службы категории "специалисты".</w:t>
      </w:r>
    </w:p>
    <w:p w:rsidR="009112F0" w:rsidRDefault="00567A14">
      <w:pPr>
        <w:pStyle w:val="10"/>
        <w:spacing w:before="0" w:after="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Регистрационный номер (код) должности 11-3-3-094.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2.</w:t>
      </w:r>
      <w:r>
        <w:t xml:space="preserve"> </w:t>
      </w:r>
      <w:r>
        <w:rPr>
          <w:rFonts w:ascii="Times New Roman" w:hAnsi="Times New Roman"/>
          <w:b w:val="0"/>
          <w:sz w:val="26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proofErr w:type="gramStart"/>
      <w:r>
        <w:rPr>
          <w:rFonts w:ascii="Times New Roman" w:hAnsi="Times New Roman"/>
          <w:b w:val="0"/>
          <w:sz w:val="26"/>
        </w:rPr>
        <w:t>3.Вид профессиональной служебной деятельности главного государственного налогового инспектора: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компетенции, подготовка материалов для осуществления процедуры банкротства организаций, в отношении которых применен весь комплекс мер принудительного взыскания.</w:t>
      </w:r>
      <w:proofErr w:type="gramEnd"/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4.Назначение на должность и освобождение от должности главного государственного налогового инспектора осуществляется приказом начальника Межрайонной инспекции Федеральной налоговой службы №17 по Санкт-Петербургу.</w:t>
      </w:r>
    </w:p>
    <w:p w:rsidR="009112F0" w:rsidRDefault="00567A14">
      <w:pPr>
        <w:pStyle w:val="10"/>
        <w:spacing w:before="0" w:after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5. Главный государственный налоговый инспектор непосредственно подчиняется начальнику </w:t>
      </w:r>
      <w:proofErr w:type="gramStart"/>
      <w:r>
        <w:rPr>
          <w:rFonts w:ascii="Times New Roman" w:hAnsi="Times New Roman"/>
          <w:b w:val="0"/>
          <w:sz w:val="26"/>
        </w:rPr>
        <w:t>отдела обеспечения процедур банкротства Межрайонной инспекции Федеральной налоговой службы</w:t>
      </w:r>
      <w:proofErr w:type="gramEnd"/>
      <w:r>
        <w:rPr>
          <w:rFonts w:ascii="Times New Roman" w:hAnsi="Times New Roman"/>
          <w:b w:val="0"/>
          <w:sz w:val="26"/>
        </w:rPr>
        <w:t xml:space="preserve"> №17 по Санкт-Петербургу.</w:t>
      </w: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II. Квалификационные требования</w:t>
      </w: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для замещения должности гражданской службы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6.1. Наличие высшего образования.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proofErr w:type="gramStart"/>
      <w:r>
        <w:rPr>
          <w:rFonts w:ascii="Times New Roman" w:hAnsi="Times New Roman"/>
          <w:b w:val="0"/>
          <w:sz w:val="26"/>
        </w:rPr>
        <w:t>6.2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>
        <w:rPr>
          <w:rFonts w:ascii="Times New Roman" w:hAnsi="Times New Roman"/>
          <w:b w:val="0"/>
          <w:sz w:val="26"/>
        </w:rPr>
        <w:t xml:space="preserve">; аппаратного и программного обеспечения, возможностей и особенностей </w:t>
      </w:r>
      <w:proofErr w:type="gramStart"/>
      <w:r>
        <w:rPr>
          <w:rFonts w:ascii="Times New Roman" w:hAnsi="Times New Roman"/>
          <w:b w:val="0"/>
          <w:sz w:val="26"/>
        </w:rPr>
        <w:t>применения</w:t>
      </w:r>
      <w:proofErr w:type="gramEnd"/>
      <w:r>
        <w:rPr>
          <w:rFonts w:ascii="Times New Roman" w:hAnsi="Times New Roman"/>
          <w:b w:val="0"/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>
        <w:rPr>
          <w:rFonts w:ascii="Times New Roman" w:hAnsi="Times New Roman"/>
          <w:b w:val="0"/>
          <w:sz w:val="26"/>
        </w:rPr>
        <w:lastRenderedPageBreak/>
        <w:t>документооборота, общих вопросов в области обеспечения информационной безопасности.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6.3. Наличие профессиональных знаний: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6.3.1.</w:t>
      </w:r>
      <w:r>
        <w:t xml:space="preserve"> </w:t>
      </w:r>
      <w:r>
        <w:rPr>
          <w:rFonts w:ascii="Times New Roman" w:hAnsi="Times New Roman"/>
          <w:b w:val="0"/>
          <w:sz w:val="26"/>
        </w:rPr>
        <w:t xml:space="preserve">В сфере законодательства Российской Федерации: </w:t>
      </w:r>
      <w:proofErr w:type="gramStart"/>
      <w:r>
        <w:rPr>
          <w:rFonts w:ascii="Times New Roman" w:hAnsi="Times New Roman"/>
          <w:b w:val="0"/>
          <w:sz w:val="26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законодательства), Закон Российской Федерации от 21 марта 1991 г. № 943-1 "О налоговых органах Российской Федерации", постановление Правительства Российской Федерации от 30 сентября 2004 г.  № 506 "Об утверждении Положения о Федеральной налоговой службе", Указ Президента Российской Федерации от 30 ноября 1995 г. № 1203 "Об утверждении Перечня сведений, отнесенных</w:t>
      </w:r>
      <w:proofErr w:type="gramEnd"/>
      <w:r>
        <w:rPr>
          <w:rFonts w:ascii="Times New Roman" w:hAnsi="Times New Roman"/>
          <w:b w:val="0"/>
          <w:sz w:val="26"/>
        </w:rPr>
        <w:t xml:space="preserve">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 </w:t>
      </w:r>
      <w:proofErr w:type="gramStart"/>
      <w:r>
        <w:rPr>
          <w:rFonts w:ascii="Times New Roman" w:hAnsi="Times New Roman"/>
          <w:b w:val="0"/>
          <w:sz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которых принимается</w:t>
      </w:r>
      <w:proofErr w:type="gramEnd"/>
      <w:r>
        <w:rPr>
          <w:rFonts w:ascii="Times New Roman" w:hAnsi="Times New Roman"/>
          <w:b w:val="0"/>
          <w:sz w:val="26"/>
        </w:rPr>
        <w:t xml:space="preserve">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</w:t>
      </w:r>
      <w:proofErr w:type="gramStart"/>
      <w:r>
        <w:rPr>
          <w:rFonts w:ascii="Times New Roman" w:hAnsi="Times New Roman"/>
          <w:b w:val="0"/>
          <w:sz w:val="26"/>
        </w:rPr>
        <w:t>безнадежными</w:t>
      </w:r>
      <w:proofErr w:type="gramEnd"/>
      <w:r>
        <w:rPr>
          <w:rFonts w:ascii="Times New Roman" w:hAnsi="Times New Roman"/>
          <w:b w:val="0"/>
          <w:sz w:val="26"/>
        </w:rPr>
        <w:t xml:space="preserve"> к взысканию и об их списании, и порядка списания указанных недоимки и задолженности»; приказ ФНС России от 28 сентября 2010 г. № ММВ-7-8/469@ «Об утверждении </w:t>
      </w:r>
      <w:proofErr w:type="gramStart"/>
      <w:r>
        <w:rPr>
          <w:rFonts w:ascii="Times New Roman" w:hAnsi="Times New Roman"/>
          <w:b w:val="0"/>
          <w:sz w:val="26"/>
        </w:rPr>
        <w:t>Порядка изменения срока уплаты налога</w:t>
      </w:r>
      <w:proofErr w:type="gramEnd"/>
      <w:r>
        <w:rPr>
          <w:rFonts w:ascii="Times New Roman" w:hAnsi="Times New Roman"/>
          <w:b w:val="0"/>
          <w:sz w:val="26"/>
        </w:rPr>
        <w:t xml:space="preserve"> и сбора, а также пени и штрафа налоговыми органами», Федеральный закон от 26.10.2002 №127-ФЗ «О несостоятельности (банкротстве)».</w:t>
      </w:r>
    </w:p>
    <w:p w:rsidR="009112F0" w:rsidRDefault="00567A14">
      <w:pPr>
        <w:pStyle w:val="10"/>
        <w:spacing w:before="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  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6.3.2.</w:t>
      </w:r>
      <w:r>
        <w:t xml:space="preserve"> </w:t>
      </w:r>
      <w:proofErr w:type="gramStart"/>
      <w:r>
        <w:rPr>
          <w:rFonts w:ascii="Times New Roman" w:hAnsi="Times New Roman"/>
          <w:b w:val="0"/>
          <w:sz w:val="26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задолженности, понятие</w:t>
      </w:r>
      <w:proofErr w:type="gramEnd"/>
      <w:r>
        <w:rPr>
          <w:rFonts w:ascii="Times New Roman" w:hAnsi="Times New Roman"/>
          <w:b w:val="0"/>
          <w:sz w:val="26"/>
        </w:rPr>
        <w:t xml:space="preserve"> и меры принудительного взыскания задолженности;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6.4.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 </w:t>
      </w:r>
    </w:p>
    <w:p w:rsidR="009112F0" w:rsidRDefault="00567A14">
      <w:pPr>
        <w:pStyle w:val="10"/>
        <w:spacing w:before="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</w:t>
      </w:r>
      <w:r>
        <w:rPr>
          <w:rFonts w:ascii="Times New Roman" w:hAnsi="Times New Roman"/>
          <w:b w:val="0"/>
          <w:sz w:val="26"/>
        </w:rPr>
        <w:tab/>
        <w:t xml:space="preserve">6.5.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работать в стрессовых условиях, </w:t>
      </w:r>
      <w:r>
        <w:rPr>
          <w:rFonts w:ascii="Times New Roman" w:hAnsi="Times New Roman"/>
          <w:b w:val="0"/>
          <w:sz w:val="26"/>
        </w:rPr>
        <w:lastRenderedPageBreak/>
        <w:t>совершенствовать свой профессиональный уровень,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>6.6. </w:t>
      </w:r>
      <w:proofErr w:type="gramStart"/>
      <w:r>
        <w:rPr>
          <w:sz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налогоплательщиками.</w:t>
      </w:r>
      <w:proofErr w:type="gramEnd"/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>6.7. 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III. Должностные обязанности, права и ответственность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г. № 79-ФЗ "О государственной гражданской службе Российской Федерации".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8. В целях реализации задач и функций, возложенных на отдел, главный государственный налоговый инспектор обязан: 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использовать информационные ресурсы налоговых органов различных уровней (информационные ресурсы инспекции, управления, федеральные информационные ресурсы) для выполнения своих служебных обязанностей;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запрашивать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 и выполнения возложенных на отдел задач;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участвовать в обсуждении текущих и перспективных планов работы;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Исходя из задач и функций, определенных Положением об отделе обеспечения процедур банкротства Межрайонной ИФНС России № 17 по Санкт-Петербургу, на главного государственного налогового инспектора возлагается следующее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- осуществление сбора и обработки информации, необходимой для осуществления </w:t>
      </w:r>
      <w:proofErr w:type="gramStart"/>
      <w:r>
        <w:rPr>
          <w:sz w:val="26"/>
        </w:rPr>
        <w:t>контроля за</w:t>
      </w:r>
      <w:proofErr w:type="gramEnd"/>
      <w:r>
        <w:rPr>
          <w:sz w:val="26"/>
        </w:rPr>
        <w:t xml:space="preserve"> соблюдением законодательства по налогам и сборам, </w:t>
      </w:r>
      <w:r>
        <w:rPr>
          <w:sz w:val="26"/>
        </w:rPr>
        <w:lastRenderedPageBreak/>
        <w:t>выполнения соответствующих постановлений Правительства, приказов, писем и указаний ФНС России, Министерства Финансов РФ, решений Администрации Санкт-Петербурга, требований коллегий и руководства УФНС   РФ по Санкт-Петербургу, начальника (заместителя начальника) инспекции, начальника (заместителя начальника)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- 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- 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-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>- осуществление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подготовка ответов на запросы Управления ФНС России по Санкт-Петербургу, инспекций   ФНС России, Прокуратуры РФ, ФССП РФ, сторонних организаций, арбитражных управляющих;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строгое соблюдение требований, составляющих служебную тайну;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подготовка информационных материалов по заданию начальника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организация сдачи в архив документов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участие в обучении и консультировании сотрудников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внесение предложений по совершенствованию работы отдела;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участие в обсуждении текущих и перспективных планов работы;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соблюдение нормы служебной этики; 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 - осуществление взаимозаменяемости в работе в случае производственной необходимости;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- доклад начальнику отдела о выявленных резервах и возможностях улучшения работы;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- исполнение иных обязанностей, возложенных приказами и распоряжениями начальника инспекции;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- подготовка материалов на инициирование (отложение) процедур банкротства и направление на согласование проектов решений в Управление ФНС России по Санкт-Петербургу в отношении должников 1,2,3,4 групп (</w:t>
      </w:r>
      <w:proofErr w:type="gramStart"/>
      <w:r>
        <w:rPr>
          <w:sz w:val="26"/>
        </w:rPr>
        <w:t>согласно Приказа</w:t>
      </w:r>
      <w:proofErr w:type="gramEnd"/>
      <w:r>
        <w:rPr>
          <w:sz w:val="26"/>
        </w:rPr>
        <w:t xml:space="preserve"> Минэкономразвития России от 19.10.2007 №351);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- составлять концепции сопровождения Инспекцией дел о банкротстве и пересматривать концепции по мере необходимости, но не реже одного раза в квартал.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  <w:t xml:space="preserve"> 9. В целях исполнения возложенных должностных обязанностей главный государственный налоговый инспектор имеет право: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</w:t>
      </w:r>
      <w:proofErr w:type="gramStart"/>
      <w:r>
        <w:rPr>
          <w:sz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своих  должностных обязанностей,  повышать квалификацию за счет средств соответствующего бюджета (в пределах выделенного бюджетного финансирования), получать и направлять в установленном порядке  информацию и </w:t>
      </w:r>
      <w:r>
        <w:rPr>
          <w:sz w:val="26"/>
        </w:rPr>
        <w:lastRenderedPageBreak/>
        <w:t>материалы, необходимые для исполнения должностных обязанностей, докладывать начальнику отдела о выявленных резервах и возможностях улучшения работы, вносить предложения</w:t>
      </w:r>
      <w:proofErr w:type="gramEnd"/>
      <w:r>
        <w:rPr>
          <w:sz w:val="26"/>
        </w:rPr>
        <w:t xml:space="preserve"> по совершенствованию работы отдела.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10. Главный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</w:t>
      </w:r>
      <w:proofErr w:type="gramStart"/>
      <w:r>
        <w:rPr>
          <w:sz w:val="26"/>
        </w:rPr>
        <w:t>за</w:t>
      </w:r>
      <w:proofErr w:type="gramEnd"/>
      <w:r>
        <w:rPr>
          <w:sz w:val="26"/>
        </w:rPr>
        <w:t>: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17 по Санкт-Петербургу задачами и функциями отдела обеспечения процедур банкротства по своевременному и качественному выполнению возложенных на него настоящим должностным регламентом обязанностей и функциональными особенностями замещаемой в нем должности гражданской службы. 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- разглашение государственной и налоговой тайны, иной информации, ставшей ему известной в связи с исполнением должностных обязанностей.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- несоблюдение трудовой и исполнительской дисциплины.</w:t>
      </w:r>
    </w:p>
    <w:p w:rsidR="009112F0" w:rsidRDefault="00567A14">
      <w:pPr>
        <w:ind w:firstLine="567"/>
        <w:jc w:val="both"/>
        <w:rPr>
          <w:sz w:val="26"/>
        </w:rPr>
      </w:pPr>
      <w:r>
        <w:rPr>
          <w:sz w:val="26"/>
        </w:rPr>
        <w:t xml:space="preserve">     - неисполнение иных должностных обязанностей, предусмотренных настоящим регламентом.</w:t>
      </w:r>
    </w:p>
    <w:p w:rsidR="009112F0" w:rsidRDefault="00567A14">
      <w:pPr>
        <w:ind w:firstLine="567"/>
        <w:jc w:val="both"/>
        <w:rPr>
          <w:color w:val="FF0000"/>
          <w:sz w:val="26"/>
        </w:rPr>
      </w:pPr>
      <w:r>
        <w:rPr>
          <w:sz w:val="26"/>
        </w:rPr>
        <w:t xml:space="preserve">     </w:t>
      </w:r>
    </w:p>
    <w:p w:rsidR="009112F0" w:rsidRDefault="009112F0">
      <w:pPr>
        <w:ind w:firstLine="720"/>
        <w:jc w:val="both"/>
        <w:rPr>
          <w:sz w:val="26"/>
        </w:rPr>
      </w:pP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IV. Перечень вопросов, по которым</w:t>
      </w: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главный государственный налоговый инспектор вправе или обязан самостоятельно принимать управленческие и иные решения</w:t>
      </w:r>
    </w:p>
    <w:p w:rsidR="009112F0" w:rsidRDefault="009112F0">
      <w:pPr>
        <w:ind w:left="12" w:right="201" w:firstLine="720"/>
        <w:jc w:val="both"/>
        <w:rPr>
          <w:sz w:val="26"/>
        </w:rPr>
      </w:pP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>11. При исполнении служебных обязанностей главный государственный налоговый инспектор вправе самостоятельно принимать решения по следующим вопросам:</w:t>
      </w: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информировать начальника отдела для принятия им соответствующего решения;</w:t>
      </w: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принимать участие в рассмотрении методических рекомендаций, нормативных документов, планов работы отдела;</w:t>
      </w: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>12. При исполнении служебных обязанностей главный государственный налоговый инспектор обязан самостоятельно принимать решения по следующим вопросам:</w:t>
      </w:r>
    </w:p>
    <w:p w:rsidR="009112F0" w:rsidRDefault="00567A14">
      <w:pPr>
        <w:ind w:left="12" w:right="201" w:firstLine="720"/>
        <w:jc w:val="both"/>
        <w:rPr>
          <w:sz w:val="26"/>
        </w:rPr>
      </w:pPr>
      <w:proofErr w:type="gramStart"/>
      <w:r>
        <w:rPr>
          <w:sz w:val="26"/>
        </w:rPr>
        <w:t xml:space="preserve"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>
        <w:rPr>
          <w:sz w:val="26"/>
        </w:rPr>
        <w:lastRenderedPageBreak/>
        <w:t>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 xml:space="preserve"> 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9112F0" w:rsidRDefault="00567A14">
      <w:pPr>
        <w:pStyle w:val="10"/>
        <w:spacing w:before="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9112F0" w:rsidRDefault="009112F0">
      <w:pPr>
        <w:ind w:left="12" w:right="201" w:firstLine="720"/>
        <w:jc w:val="both"/>
        <w:rPr>
          <w:sz w:val="26"/>
        </w:rPr>
      </w:pP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9112F0" w:rsidRDefault="009112F0">
      <w:pPr>
        <w:jc w:val="both"/>
        <w:rPr>
          <w:sz w:val="26"/>
        </w:rPr>
      </w:pP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>13.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 управленческих и иных решений в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 иных актов по поручению начальника отдела.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 подготовке информации для руководства инспекции;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>14.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112F0" w:rsidRDefault="00567A14">
      <w:pPr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  <w:t>вносить предложения при подготовке планов работ отдела;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 графика отпусков гражданских служащих отдела;</w:t>
      </w: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 иных актов по поручению начальника отдела и руководства инспекции.</w:t>
      </w:r>
    </w:p>
    <w:p w:rsidR="009112F0" w:rsidRDefault="009112F0">
      <w:pPr>
        <w:ind w:left="12" w:right="201" w:firstLine="720"/>
        <w:jc w:val="center"/>
        <w:rPr>
          <w:b/>
          <w:sz w:val="26"/>
        </w:rPr>
      </w:pPr>
    </w:p>
    <w:p w:rsidR="009112F0" w:rsidRDefault="00567A14">
      <w:pPr>
        <w:ind w:left="12" w:right="201" w:firstLine="720"/>
        <w:jc w:val="center"/>
        <w:rPr>
          <w:b/>
          <w:sz w:val="26"/>
        </w:rPr>
      </w:pPr>
      <w:r>
        <w:rPr>
          <w:b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112F0" w:rsidRDefault="009112F0">
      <w:pPr>
        <w:ind w:left="12" w:right="201" w:firstLine="720"/>
        <w:jc w:val="both"/>
        <w:rPr>
          <w:sz w:val="26"/>
        </w:rPr>
      </w:pPr>
    </w:p>
    <w:p w:rsidR="009112F0" w:rsidRDefault="00567A14">
      <w:pPr>
        <w:ind w:left="12" w:right="201" w:firstLine="720"/>
        <w:jc w:val="both"/>
        <w:rPr>
          <w:sz w:val="26"/>
        </w:rPr>
      </w:pPr>
      <w:r>
        <w:rPr>
          <w:sz w:val="26"/>
        </w:rPr>
        <w:t>15.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9112F0">
      <w:pPr>
        <w:jc w:val="center"/>
        <w:rPr>
          <w:b/>
          <w:sz w:val="26"/>
        </w:rPr>
      </w:pPr>
    </w:p>
    <w:p w:rsidR="009112F0" w:rsidRDefault="009112F0">
      <w:pPr>
        <w:jc w:val="center"/>
        <w:rPr>
          <w:b/>
          <w:sz w:val="26"/>
        </w:rPr>
      </w:pP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9112F0" w:rsidRDefault="009112F0">
      <w:pPr>
        <w:rPr>
          <w:sz w:val="26"/>
        </w:rPr>
      </w:pP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 xml:space="preserve">16. </w:t>
      </w:r>
      <w:proofErr w:type="gramStart"/>
      <w:r>
        <w:rPr>
          <w:sz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</w:t>
      </w:r>
      <w:r>
        <w:rPr>
          <w:sz w:val="26"/>
        </w:rPr>
        <w:lastRenderedPageBreak/>
        <w:t>служащих» (Собрание законодательства Российской Федерации, 2002</w:t>
      </w:r>
      <w:proofErr w:type="gramEnd"/>
      <w:r>
        <w:rPr>
          <w:sz w:val="26"/>
        </w:rPr>
        <w:t xml:space="preserve">, № 33, ст.3196; 2007, № 13, ст.1531; </w:t>
      </w:r>
      <w:proofErr w:type="gramStart"/>
      <w:r>
        <w:rPr>
          <w:sz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11.04.2011№ 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rPr>
          <w:sz w:val="26"/>
        </w:rPr>
        <w:t xml:space="preserve"> России.</w:t>
      </w:r>
    </w:p>
    <w:p w:rsidR="009112F0" w:rsidRDefault="009112F0">
      <w:pPr>
        <w:jc w:val="both"/>
        <w:rPr>
          <w:sz w:val="26"/>
        </w:rPr>
      </w:pP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VIII. Перечень государственных услуг, оказываемых гражданам и </w:t>
      </w: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организациям в соответствии с административным регламентом </w:t>
      </w:r>
    </w:p>
    <w:p w:rsidR="009112F0" w:rsidRDefault="00567A14">
      <w:pPr>
        <w:pStyle w:val="10"/>
        <w:spacing w:before="0" w:after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Федеральной налоговой службы</w:t>
      </w:r>
    </w:p>
    <w:p w:rsidR="009112F0" w:rsidRDefault="00567A14">
      <w:pPr>
        <w:pStyle w:val="10"/>
        <w:ind w:firstLine="708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17.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17  по Санкт-Петербургу, включающих в себя следующие административные процедуры:</w:t>
      </w:r>
    </w:p>
    <w:p w:rsidR="009112F0" w:rsidRDefault="00567A14">
      <w:pPr>
        <w:rPr>
          <w:sz w:val="26"/>
        </w:rPr>
      </w:pPr>
      <w:r>
        <w:rPr>
          <w:sz w:val="26"/>
        </w:rPr>
        <w:t xml:space="preserve">          - информирование налогоплательщиков по вопросам функционирования;</w:t>
      </w:r>
    </w:p>
    <w:p w:rsidR="009112F0" w:rsidRDefault="00567A14">
      <w:pPr>
        <w:rPr>
          <w:sz w:val="26"/>
        </w:rPr>
      </w:pPr>
      <w:r>
        <w:rPr>
          <w:sz w:val="26"/>
        </w:rPr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>IX. Показатели эффективности и результативности</w:t>
      </w:r>
    </w:p>
    <w:p w:rsidR="009112F0" w:rsidRDefault="00567A14">
      <w:pPr>
        <w:jc w:val="center"/>
        <w:rPr>
          <w:b/>
          <w:sz w:val="26"/>
        </w:rPr>
      </w:pPr>
      <w:r>
        <w:rPr>
          <w:b/>
          <w:sz w:val="26"/>
        </w:rPr>
        <w:t xml:space="preserve"> профессиональной служебной деятельности</w:t>
      </w:r>
    </w:p>
    <w:p w:rsidR="009112F0" w:rsidRDefault="009112F0">
      <w:pPr>
        <w:jc w:val="center"/>
        <w:rPr>
          <w:b/>
          <w:sz w:val="26"/>
        </w:rPr>
      </w:pPr>
    </w:p>
    <w:p w:rsidR="009112F0" w:rsidRDefault="00567A14">
      <w:pPr>
        <w:ind w:firstLine="708"/>
        <w:jc w:val="both"/>
        <w:rPr>
          <w:sz w:val="26"/>
        </w:rPr>
      </w:pPr>
      <w:r>
        <w:rPr>
          <w:sz w:val="26"/>
        </w:rPr>
        <w:t>18.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lastRenderedPageBreak/>
        <w:t xml:space="preserve">соблюдению сроков и качеству </w:t>
      </w:r>
      <w:proofErr w:type="gramStart"/>
      <w:r>
        <w:rPr>
          <w:sz w:val="26"/>
        </w:rPr>
        <w:t>ведения информационного ресурса журнала работы налоговых органов</w:t>
      </w:r>
      <w:proofErr w:type="gramEnd"/>
      <w:r>
        <w:rPr>
          <w:sz w:val="26"/>
        </w:rPr>
        <w:t xml:space="preserve"> по обеспечению процедур банкротства;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качеству проведения анализа финансово-хозяйственной деятельности организаций, в целях недопущения преднамеренного банкротства.</w:t>
      </w:r>
    </w:p>
    <w:p w:rsidR="009112F0" w:rsidRDefault="00567A14">
      <w:pPr>
        <w:jc w:val="both"/>
        <w:rPr>
          <w:sz w:val="26"/>
        </w:rPr>
      </w:pPr>
      <w:r>
        <w:rPr>
          <w:sz w:val="26"/>
        </w:rPr>
        <w:t xml:space="preserve">           снижению задолженности по налогам и сборам, пеням и налоговым санкциям;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эффективности погашения задолженности на всех стадиях взыскания;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эффективности погашения задолженности в процедурах банкротства;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количеству жалоб на действия арбитражных управляющих на предмет соответствия законодательству о банкротстве;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количеству направленных и согласованных заявлений о привлечении к субсидиарной ответственности и взыскания задолженности;</w:t>
      </w:r>
    </w:p>
    <w:p w:rsidR="009112F0" w:rsidRDefault="00567A14">
      <w:pPr>
        <w:ind w:firstLine="720"/>
        <w:jc w:val="both"/>
        <w:rPr>
          <w:sz w:val="26"/>
        </w:rPr>
      </w:pPr>
      <w:r>
        <w:rPr>
          <w:sz w:val="26"/>
        </w:rPr>
        <w:t>количеству направленных уведомлений по привлечению к ответственности, предусмотренной частями 5, 5.1, 8 статьи 14.13 КоАП РФ.</w:t>
      </w:r>
    </w:p>
    <w:p w:rsidR="009112F0" w:rsidRDefault="009112F0">
      <w:pPr>
        <w:jc w:val="both"/>
        <w:rPr>
          <w:sz w:val="26"/>
        </w:rPr>
      </w:pPr>
    </w:p>
    <w:p w:rsidR="009112F0" w:rsidRDefault="009112F0">
      <w:pPr>
        <w:ind w:firstLine="720"/>
        <w:jc w:val="both"/>
        <w:rPr>
          <w:sz w:val="26"/>
        </w:rPr>
      </w:pPr>
    </w:p>
    <w:p w:rsidR="009112F0" w:rsidRDefault="009112F0">
      <w:pPr>
        <w:ind w:firstLine="720"/>
        <w:jc w:val="both"/>
        <w:rPr>
          <w:sz w:val="26"/>
        </w:rPr>
      </w:pPr>
    </w:p>
    <w:p w:rsidR="009112F0" w:rsidRDefault="009112F0">
      <w:pPr>
        <w:ind w:firstLine="720"/>
        <w:jc w:val="both"/>
        <w:rPr>
          <w:sz w:val="26"/>
        </w:rPr>
      </w:pPr>
      <w:bookmarkStart w:id="0" w:name="_GoBack"/>
      <w:bookmarkEnd w:id="0"/>
    </w:p>
    <w:sectPr w:rsidR="009112F0">
      <w:headerReference w:type="default" r:id="rId7"/>
      <w:footerReference w:type="default" r:id="rId8"/>
      <w:footerReference w:type="first" r:id="rId9"/>
      <w:pgSz w:w="11906" w:h="16838"/>
      <w:pgMar w:top="851" w:right="851" w:bottom="851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044" w:rsidRDefault="00166044">
      <w:r>
        <w:separator/>
      </w:r>
    </w:p>
  </w:endnote>
  <w:endnote w:type="continuationSeparator" w:id="0">
    <w:p w:rsidR="00166044" w:rsidRDefault="0016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F0" w:rsidRDefault="00567A14">
    <w:pPr>
      <w:pStyle w:val="af5"/>
      <w:rPr>
        <w:i/>
        <w:color w:val="FFFFFF"/>
        <w:sz w:val="16"/>
      </w:rPr>
    </w:pPr>
    <w:r>
      <w:rPr>
        <w:i/>
        <w:color w:val="FFFFFF"/>
        <w:sz w:val="16"/>
      </w:rPr>
      <w:t>07.06.2019 15:14</w:t>
    </w:r>
  </w:p>
  <w:p w:rsidR="009112F0" w:rsidRDefault="00567A14">
    <w:pPr>
      <w:pStyle w:val="af5"/>
      <w:rPr>
        <w:color w:val="FFFFFF"/>
      </w:rPr>
    </w:pPr>
    <w:r>
      <w:rPr>
        <w:i/>
        <w:color w:val="FFFFFF"/>
        <w:sz w:val="16"/>
      </w:rPr>
      <w:t>./</w:t>
    </w:r>
    <w:proofErr w:type="spellStart"/>
    <w:r>
      <w:rPr>
        <w:i/>
        <w:color w:val="FFFFFF"/>
        <w:sz w:val="16"/>
      </w:rPr>
      <w:t>ГлНИ</w:t>
    </w:r>
    <w:proofErr w:type="spellEnd"/>
    <w:r>
      <w:rPr>
        <w:i/>
        <w:color w:val="FFFFFF"/>
        <w:sz w:val="16"/>
      </w:rPr>
      <w:t xml:space="preserve"> Байдак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F0" w:rsidRDefault="00567A14">
    <w:pPr>
      <w:pStyle w:val="af5"/>
      <w:rPr>
        <w:i/>
        <w:color w:val="FFFFFF"/>
        <w:sz w:val="16"/>
      </w:rPr>
    </w:pPr>
    <w:r>
      <w:rPr>
        <w:i/>
        <w:color w:val="FFFFFF"/>
        <w:sz w:val="16"/>
      </w:rPr>
      <w:t>07.06.2019 15:14</w:t>
    </w:r>
  </w:p>
  <w:p w:rsidR="009112F0" w:rsidRDefault="00567A14">
    <w:pPr>
      <w:pStyle w:val="af5"/>
      <w:rPr>
        <w:color w:val="FFFFFF"/>
      </w:rPr>
    </w:pPr>
    <w:proofErr w:type="spellStart"/>
    <w:r>
      <w:rPr>
        <w:i/>
        <w:color w:val="FFFFFF"/>
        <w:sz w:val="16"/>
      </w:rPr>
      <w:t>buro</w:t>
    </w:r>
    <w:proofErr w:type="spellEnd"/>
    <w:r>
      <w:rPr>
        <w:i/>
        <w:color w:val="FFFFFF"/>
        <w:sz w:val="16"/>
      </w:rPr>
      <w:t>/О.К./</w:t>
    </w:r>
    <w:proofErr w:type="spellStart"/>
    <w:r>
      <w:rPr>
        <w:i/>
        <w:color w:val="FFFFFF"/>
        <w:sz w:val="16"/>
      </w:rPr>
      <w:t>ГлНИ</w:t>
    </w:r>
    <w:proofErr w:type="spellEnd"/>
    <w:r>
      <w:rPr>
        <w:i/>
        <w:color w:val="FFFFFF"/>
        <w:sz w:val="16"/>
      </w:rPr>
      <w:t xml:space="preserve"> Байдак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044" w:rsidRDefault="00166044">
      <w:r>
        <w:separator/>
      </w:r>
    </w:p>
  </w:footnote>
  <w:footnote w:type="continuationSeparator" w:id="0">
    <w:p w:rsidR="00166044" w:rsidRDefault="00166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F0" w:rsidRDefault="00567A14">
    <w:pPr>
      <w:framePr w:wrap="around" w:vAnchor="text" w:hAnchor="margin" w:xAlign="center" w:y="1"/>
    </w:pPr>
    <w:r>
      <w:rPr>
        <w:rStyle w:val="ab"/>
        <w:sz w:val="16"/>
      </w:rPr>
      <w:fldChar w:fldCharType="begin"/>
    </w:r>
    <w:r>
      <w:rPr>
        <w:rStyle w:val="ab"/>
        <w:sz w:val="16"/>
      </w:rPr>
      <w:instrText xml:space="preserve">PAGE </w:instrText>
    </w:r>
    <w:r>
      <w:rPr>
        <w:rStyle w:val="ab"/>
        <w:sz w:val="16"/>
      </w:rPr>
      <w:fldChar w:fldCharType="separate"/>
    </w:r>
    <w:r w:rsidR="000B6481">
      <w:rPr>
        <w:rStyle w:val="ab"/>
        <w:noProof/>
        <w:sz w:val="16"/>
      </w:rPr>
      <w:t>8</w:t>
    </w:r>
    <w:r>
      <w:rPr>
        <w:rStyle w:val="ab"/>
        <w:sz w:val="16"/>
      </w:rPr>
      <w:fldChar w:fldCharType="end"/>
    </w:r>
  </w:p>
  <w:p w:rsidR="009112F0" w:rsidRDefault="009112F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2F0"/>
    <w:rsid w:val="000B6481"/>
    <w:rsid w:val="00154924"/>
    <w:rsid w:val="00166044"/>
    <w:rsid w:val="00567A14"/>
    <w:rsid w:val="00791B62"/>
    <w:rsid w:val="00792BFF"/>
    <w:rsid w:val="0088381E"/>
    <w:rsid w:val="009112F0"/>
    <w:rsid w:val="00CF0CD7"/>
    <w:rsid w:val="00E2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Body Text"/>
    <w:basedOn w:val="a"/>
    <w:link w:val="a4"/>
    <w:pPr>
      <w:jc w:val="both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7">
    <w:name w:val="Цветовое выделение"/>
    <w:link w:val="a8"/>
    <w:rPr>
      <w:b/>
      <w:color w:val="000080"/>
    </w:rPr>
  </w:style>
  <w:style w:type="character" w:customStyle="1" w:styleId="a8">
    <w:name w:val="Цветовое выделение"/>
    <w:link w:val="a7"/>
    <w:rPr>
      <w:b/>
      <w:color w:val="000080"/>
    </w:rPr>
  </w:style>
  <w:style w:type="paragraph" w:customStyle="1" w:styleId="210">
    <w:name w:val="Основной текст 21"/>
    <w:basedOn w:val="a"/>
    <w:link w:val="211"/>
    <w:pPr>
      <w:ind w:firstLine="567"/>
      <w:jc w:val="both"/>
    </w:pPr>
  </w:style>
  <w:style w:type="character" w:customStyle="1" w:styleId="211">
    <w:name w:val="Основной текст 21"/>
    <w:basedOn w:val="1"/>
    <w:link w:val="210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a9">
    <w:name w:val="Нормальный (таблица)"/>
    <w:basedOn w:val="a"/>
    <w:next w:val="a"/>
    <w:link w:val="aa"/>
    <w:pPr>
      <w:widowControl w:val="0"/>
      <w:jc w:val="both"/>
    </w:pPr>
    <w:rPr>
      <w:rFonts w:ascii="Arial" w:hAnsi="Arial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Номер страницы1"/>
    <w:basedOn w:val="12"/>
    <w:link w:val="ab"/>
  </w:style>
  <w:style w:type="character" w:styleId="ab">
    <w:name w:val="page number"/>
    <w:basedOn w:val="a0"/>
    <w:link w:val="13"/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">
    <w:name w:val="Знак"/>
    <w:basedOn w:val="a"/>
    <w:link w:val="af0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f0">
    <w:name w:val="Знак"/>
    <w:basedOn w:val="1"/>
    <w:link w:val="af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1">
    <w:name w:val="Таблицы (моноширинный)"/>
    <w:basedOn w:val="a"/>
    <w:next w:val="a"/>
    <w:link w:val="af2"/>
    <w:pPr>
      <w:widowControl w:val="0"/>
      <w:jc w:val="both"/>
    </w:pPr>
    <w:rPr>
      <w:rFonts w:ascii="Courier New" w:hAnsi="Courier New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4"/>
    </w:rPr>
  </w:style>
  <w:style w:type="paragraph" w:customStyle="1" w:styleId="af3">
    <w:name w:val="Гипертекстовая ссылка"/>
    <w:link w:val="af4"/>
    <w:rPr>
      <w:b/>
      <w:color w:val="008000"/>
    </w:rPr>
  </w:style>
  <w:style w:type="character" w:customStyle="1" w:styleId="af4">
    <w:name w:val="Гипертекстовая ссылка"/>
    <w:link w:val="af3"/>
    <w:rPr>
      <w:b/>
      <w:color w:val="00800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"/>
    <w:link w:val="af5"/>
    <w:rPr>
      <w:sz w:val="24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Body Text"/>
    <w:basedOn w:val="a"/>
    <w:link w:val="a4"/>
    <w:pPr>
      <w:jc w:val="both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7">
    <w:name w:val="Цветовое выделение"/>
    <w:link w:val="a8"/>
    <w:rPr>
      <w:b/>
      <w:color w:val="000080"/>
    </w:rPr>
  </w:style>
  <w:style w:type="character" w:customStyle="1" w:styleId="a8">
    <w:name w:val="Цветовое выделение"/>
    <w:link w:val="a7"/>
    <w:rPr>
      <w:b/>
      <w:color w:val="000080"/>
    </w:rPr>
  </w:style>
  <w:style w:type="paragraph" w:customStyle="1" w:styleId="210">
    <w:name w:val="Основной текст 21"/>
    <w:basedOn w:val="a"/>
    <w:link w:val="211"/>
    <w:pPr>
      <w:ind w:firstLine="567"/>
      <w:jc w:val="both"/>
    </w:pPr>
  </w:style>
  <w:style w:type="character" w:customStyle="1" w:styleId="211">
    <w:name w:val="Основной текст 21"/>
    <w:basedOn w:val="1"/>
    <w:link w:val="210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a9">
    <w:name w:val="Нормальный (таблица)"/>
    <w:basedOn w:val="a"/>
    <w:next w:val="a"/>
    <w:link w:val="aa"/>
    <w:pPr>
      <w:widowControl w:val="0"/>
      <w:jc w:val="both"/>
    </w:pPr>
    <w:rPr>
      <w:rFonts w:ascii="Arial" w:hAnsi="Arial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Номер страницы1"/>
    <w:basedOn w:val="12"/>
    <w:link w:val="ab"/>
  </w:style>
  <w:style w:type="character" w:styleId="ab">
    <w:name w:val="page number"/>
    <w:basedOn w:val="a0"/>
    <w:link w:val="13"/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">
    <w:name w:val="Знак"/>
    <w:basedOn w:val="a"/>
    <w:link w:val="af0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f0">
    <w:name w:val="Знак"/>
    <w:basedOn w:val="1"/>
    <w:link w:val="af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1">
    <w:name w:val="Таблицы (моноширинный)"/>
    <w:basedOn w:val="a"/>
    <w:next w:val="a"/>
    <w:link w:val="af2"/>
    <w:pPr>
      <w:widowControl w:val="0"/>
      <w:jc w:val="both"/>
    </w:pPr>
    <w:rPr>
      <w:rFonts w:ascii="Courier New" w:hAnsi="Courier New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4"/>
    </w:rPr>
  </w:style>
  <w:style w:type="paragraph" w:customStyle="1" w:styleId="af3">
    <w:name w:val="Гипертекстовая ссылка"/>
    <w:link w:val="af4"/>
    <w:rPr>
      <w:b/>
      <w:color w:val="008000"/>
    </w:rPr>
  </w:style>
  <w:style w:type="character" w:customStyle="1" w:styleId="af4">
    <w:name w:val="Гипертекстовая ссылка"/>
    <w:link w:val="af3"/>
    <w:rPr>
      <w:b/>
      <w:color w:val="00800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1"/>
    <w:link w:val="af5"/>
    <w:rPr>
      <w:sz w:val="24"/>
    </w:rPr>
  </w:style>
  <w:style w:type="paragraph" w:styleId="af7">
    <w:name w:val="Subtitle"/>
    <w:next w:val="a"/>
    <w:link w:val="af8"/>
    <w:uiPriority w:val="11"/>
    <w:qFormat/>
    <w:rPr>
      <w:rFonts w:ascii="XO Thames" w:hAnsi="XO Thames"/>
      <w:i/>
      <w:color w:val="616161"/>
      <w:sz w:val="24"/>
    </w:rPr>
  </w:style>
  <w:style w:type="character" w:customStyle="1" w:styleId="af8">
    <w:name w:val="Подзаголовок Знак"/>
    <w:link w:val="af7"/>
    <w:rPr>
      <w:rFonts w:ascii="XO Thames" w:hAnsi="XO Thames"/>
      <w:i/>
      <w:color w:val="616161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9">
    <w:name w:val="Title"/>
    <w:next w:val="a"/>
    <w:link w:val="afa"/>
    <w:uiPriority w:val="10"/>
    <w:qFormat/>
    <w:rPr>
      <w:rFonts w:ascii="XO Thames" w:hAnsi="XO Thames"/>
      <w:b/>
      <w:sz w:val="52"/>
    </w:rPr>
  </w:style>
  <w:style w:type="character" w:customStyle="1" w:styleId="afa">
    <w:name w:val="Название Знак"/>
    <w:link w:val="af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3054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Рамазанов Гамид Магомедович</dc:creator>
  <cp:lastModifiedBy>Беляева Анна Андреевна</cp:lastModifiedBy>
  <cp:revision>4</cp:revision>
  <dcterms:created xsi:type="dcterms:W3CDTF">2024-02-05T07:27:00Z</dcterms:created>
  <dcterms:modified xsi:type="dcterms:W3CDTF">2024-09-23T09:11:00Z</dcterms:modified>
</cp:coreProperties>
</file>